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27" w:rsidRPr="003B6127" w:rsidRDefault="003B6127" w:rsidP="003B61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6127">
        <w:rPr>
          <w:rFonts w:ascii="Times New Roman" w:eastAsia="Times New Roman" w:hAnsi="Times New Roman" w:cs="Times New Roman"/>
          <w:b/>
          <w:bCs/>
          <w:sz w:val="36"/>
          <w:szCs w:val="36"/>
          <w:lang w:eastAsia="ru-RU"/>
        </w:rPr>
        <w:t>Статья 333.19. Размеры государственной пошлины по делам, рассматриваемым Верховным Судом Российской Федерации, судами общей юрисдикции, мировыми судьями</w:t>
      </w:r>
    </w:p>
    <w:p w:rsidR="003B6127" w:rsidRPr="003B6127" w:rsidRDefault="003B6127" w:rsidP="003B6127">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3B6127">
          <w:rPr>
            <w:rFonts w:ascii="Times New Roman" w:eastAsia="Times New Roman" w:hAnsi="Times New Roman" w:cs="Times New Roman"/>
            <w:color w:val="0000FF"/>
            <w:sz w:val="24"/>
            <w:szCs w:val="24"/>
            <w:u w:val="single"/>
            <w:lang w:eastAsia="ru-RU"/>
          </w:rPr>
          <w:t>[Налоговый кодекс РФ]</w:t>
        </w:r>
      </w:hyperlink>
      <w:r w:rsidRPr="003B6127">
        <w:rPr>
          <w:rFonts w:ascii="Times New Roman" w:eastAsia="Times New Roman" w:hAnsi="Times New Roman" w:cs="Times New Roman"/>
          <w:sz w:val="24"/>
          <w:szCs w:val="24"/>
          <w:lang w:eastAsia="ru-RU"/>
        </w:rPr>
        <w:t xml:space="preserve"> </w:t>
      </w:r>
      <w:hyperlink r:id="rId6" w:tooltip="Государственная пошлина" w:history="1">
        <w:r w:rsidRPr="003B6127">
          <w:rPr>
            <w:rFonts w:ascii="Times New Roman" w:eastAsia="Times New Roman" w:hAnsi="Times New Roman" w:cs="Times New Roman"/>
            <w:color w:val="0000FF"/>
            <w:sz w:val="24"/>
            <w:szCs w:val="24"/>
            <w:u w:val="single"/>
            <w:lang w:eastAsia="ru-RU"/>
          </w:rPr>
          <w:t>[Глава 25.3]</w:t>
        </w:r>
      </w:hyperlink>
      <w:r w:rsidRPr="003B6127">
        <w:rPr>
          <w:rFonts w:ascii="Times New Roman" w:eastAsia="Times New Roman" w:hAnsi="Times New Roman" w:cs="Times New Roman"/>
          <w:sz w:val="24"/>
          <w:szCs w:val="24"/>
          <w:lang w:eastAsia="ru-RU"/>
        </w:rPr>
        <w:t xml:space="preserve"> </w:t>
      </w:r>
      <w:hyperlink r:id="rId7" w:tooltip="Размеры государственной пошлины по делам, рассматриваемым Верховным Судом Российской Федерации, судами общей юрисдикции, мировыми судьями" w:history="1">
        <w:r w:rsidRPr="003B6127">
          <w:rPr>
            <w:rFonts w:ascii="Times New Roman" w:eastAsia="Times New Roman" w:hAnsi="Times New Roman" w:cs="Times New Roman"/>
            <w:color w:val="0000FF"/>
            <w:sz w:val="24"/>
            <w:szCs w:val="24"/>
            <w:u w:val="single"/>
            <w:lang w:eastAsia="ru-RU"/>
          </w:rPr>
          <w:t>[Статья 333.19]</w:t>
        </w:r>
      </w:hyperlink>
      <w:r w:rsidRPr="003B6127">
        <w:rPr>
          <w:rFonts w:ascii="Times New Roman" w:eastAsia="Times New Roman" w:hAnsi="Times New Roman" w:cs="Times New Roman"/>
          <w:sz w:val="24"/>
          <w:szCs w:val="24"/>
          <w:lang w:eastAsia="ru-RU"/>
        </w:rPr>
        <w:t xml:space="preserve"> </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1.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государственная пошлина уплачивается в следующих размерах:</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1) при подаче искового заявления имущественного характера, административного искового заявления имущественного характера, подлежащих оценке, при цене иска:</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до 20 000 рублей - 4 процента цены иска, но не менее 400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от 20 001 рубля до 100 000 рублей - 800 рублей плюс 3 процента суммы, превышающей 20 000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от 100 001 рубля до 200 000 рублей - 3 200 рублей плюс 2 процента суммы, превышающей 100 000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от 200 001 рубля до 1 000 000 рублей - 5 200 рублей плюс 1 процент суммы, превышающей 200 000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свыше 1 000 000 рублей - 13 200 рублей плюс 0,5 процента суммы, превышающей 1 000 000 рублей, но не более 60 000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2) при подаче заявления о вынесении судебного приказа - 50 процентов размера государственной пошлины, установленной подпунктом 1 настоящего пункта;</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3) при подаче искового заявления имущественного характера, не подлежащего оценке, а также искового заявления неимущественного характера:</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для физических лиц - 300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для организаций - 6 000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4) при подаче надзорной жалобы - в размере государственной пошлины, уплачиваемой при подаче искового заявления неимущественного характера;</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5) при подаче искового заявления о расторжении брака - 600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 xml:space="preserve">6)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w:t>
      </w:r>
      <w:r w:rsidRPr="003B6127">
        <w:rPr>
          <w:rFonts w:ascii="Times New Roman" w:eastAsia="Times New Roman" w:hAnsi="Times New Roman" w:cs="Times New Roman"/>
          <w:sz w:val="24"/>
          <w:szCs w:val="24"/>
          <w:lang w:eastAsia="ru-RU"/>
        </w:rPr>
        <w:lastRenderedPageBreak/>
        <w:t>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для физических лиц - 300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для организаций - 4 500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6.1)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для физических лиц - 300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для организаций - 4 500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7)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для физических лиц - 300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для организаций - 2 000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8) при подаче заявления по делам особого производства - 300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10) утратил силу;</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11) при подаче заявления о выдаче исполнительных листов на принудительное исполнение решений третейского суда - 2 250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12) при подаче заявления об обеспечении иска, рассматриваемого в третейском суде, - 300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13) при подаче заявления об отмене решения третейского суда - 2 250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14) при подаче заявления по делам о взыскании алиментов - 150 рублей. Если судом выносится решение о взыскании алиментов как на содержание детей, так и на содержание истца, размер государственной пошлины увеличивается в два раза;</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15)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для физических лиц - 300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lastRenderedPageBreak/>
        <w:t>для организаций - 6 000 рублей.</w:t>
      </w:r>
    </w:p>
    <w:p w:rsidR="003B6127" w:rsidRPr="003B6127" w:rsidRDefault="003B6127" w:rsidP="003B6127">
      <w:pPr>
        <w:spacing w:before="100" w:beforeAutospacing="1" w:after="100" w:afterAutospacing="1" w:line="240" w:lineRule="auto"/>
        <w:rPr>
          <w:rFonts w:ascii="Times New Roman" w:eastAsia="Times New Roman" w:hAnsi="Times New Roman" w:cs="Times New Roman"/>
          <w:sz w:val="24"/>
          <w:szCs w:val="24"/>
          <w:lang w:eastAsia="ru-RU"/>
        </w:rPr>
      </w:pPr>
      <w:r w:rsidRPr="003B6127">
        <w:rPr>
          <w:rFonts w:ascii="Times New Roman" w:eastAsia="Times New Roman" w:hAnsi="Times New Roman" w:cs="Times New Roman"/>
          <w:sz w:val="24"/>
          <w:szCs w:val="24"/>
          <w:lang w:eastAsia="ru-RU"/>
        </w:rPr>
        <w:t>2. Положения настоящей статьи применяются с учетом положений статьи 333.20 настоящего Кодекса.</w:t>
      </w:r>
    </w:p>
    <w:p w:rsidR="007879A1" w:rsidRDefault="007879A1">
      <w:bookmarkStart w:id="0" w:name="_GoBack"/>
      <w:bookmarkEnd w:id="0"/>
    </w:p>
    <w:sectPr w:rsidR="00787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27"/>
    <w:rsid w:val="003B6127"/>
    <w:rsid w:val="0078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61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12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B6127"/>
    <w:rPr>
      <w:color w:val="0000FF"/>
      <w:u w:val="single"/>
    </w:rPr>
  </w:style>
  <w:style w:type="paragraph" w:styleId="a4">
    <w:name w:val="Normal (Web)"/>
    <w:basedOn w:val="a"/>
    <w:uiPriority w:val="99"/>
    <w:semiHidden/>
    <w:unhideWhenUsed/>
    <w:rsid w:val="003B61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61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12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B6127"/>
    <w:rPr>
      <w:color w:val="0000FF"/>
      <w:u w:val="single"/>
    </w:rPr>
  </w:style>
  <w:style w:type="paragraph" w:styleId="a4">
    <w:name w:val="Normal (Web)"/>
    <w:basedOn w:val="a"/>
    <w:uiPriority w:val="99"/>
    <w:semiHidden/>
    <w:unhideWhenUsed/>
    <w:rsid w:val="003B61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84818">
      <w:bodyDiv w:val="1"/>
      <w:marLeft w:val="0"/>
      <w:marRight w:val="0"/>
      <w:marTop w:val="0"/>
      <w:marBottom w:val="0"/>
      <w:divBdr>
        <w:top w:val="none" w:sz="0" w:space="0" w:color="auto"/>
        <w:left w:val="none" w:sz="0" w:space="0" w:color="auto"/>
        <w:bottom w:val="none" w:sz="0" w:space="0" w:color="auto"/>
        <w:right w:val="none" w:sz="0" w:space="0" w:color="auto"/>
      </w:divBdr>
      <w:divsChild>
        <w:div w:id="818377690">
          <w:marLeft w:val="0"/>
          <w:marRight w:val="0"/>
          <w:marTop w:val="0"/>
          <w:marBottom w:val="0"/>
          <w:divBdr>
            <w:top w:val="none" w:sz="0" w:space="0" w:color="auto"/>
            <w:left w:val="none" w:sz="0" w:space="0" w:color="auto"/>
            <w:bottom w:val="none" w:sz="0" w:space="0" w:color="auto"/>
            <w:right w:val="none" w:sz="0" w:space="0" w:color="auto"/>
          </w:divBdr>
        </w:div>
        <w:div w:id="38864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33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5.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2016-06-04T08:15:00Z</dcterms:created>
  <dcterms:modified xsi:type="dcterms:W3CDTF">2016-06-04T08:16:00Z</dcterms:modified>
</cp:coreProperties>
</file>